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AB7" w:rsidRPr="00B11BFB" w:rsidRDefault="00CD2AB7" w:rsidP="002B2E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2AB7" w:rsidRPr="00B11BFB" w:rsidRDefault="00CD2AB7" w:rsidP="002B2E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2AB7" w:rsidRDefault="00CD2AB7" w:rsidP="002B2E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CIRCULAR</w:t>
      </w:r>
      <w:r w:rsidR="00D67CFA">
        <w:rPr>
          <w:rFonts w:ascii="Arial" w:hAnsi="Arial" w:cs="Arial"/>
          <w:b/>
          <w:sz w:val="24"/>
          <w:szCs w:val="24"/>
        </w:rPr>
        <w:t xml:space="preserve"> EXTERNA</w:t>
      </w:r>
      <w:r w:rsidR="002A7053">
        <w:rPr>
          <w:rFonts w:ascii="Arial" w:hAnsi="Arial" w:cs="Arial"/>
          <w:b/>
          <w:sz w:val="24"/>
          <w:szCs w:val="24"/>
        </w:rPr>
        <w:t xml:space="preserve"> </w:t>
      </w:r>
      <w:r w:rsidR="006D047D">
        <w:rPr>
          <w:rFonts w:ascii="Arial" w:hAnsi="Arial" w:cs="Arial"/>
          <w:b/>
          <w:sz w:val="24"/>
          <w:szCs w:val="24"/>
        </w:rPr>
        <w:t>029</w:t>
      </w:r>
      <w:r w:rsidR="00BA3451">
        <w:rPr>
          <w:rFonts w:ascii="Arial" w:hAnsi="Arial" w:cs="Arial"/>
          <w:b/>
          <w:sz w:val="24"/>
          <w:szCs w:val="24"/>
        </w:rPr>
        <w:t xml:space="preserve"> DE 2018</w:t>
      </w:r>
    </w:p>
    <w:p w:rsidR="00B23CB8" w:rsidRPr="00B11BFB" w:rsidRDefault="00B23CB8" w:rsidP="002B2E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D2AB7" w:rsidRPr="00D601BB" w:rsidRDefault="0024214A" w:rsidP="002B2E0E">
      <w:pPr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  <w:proofErr w:type="gramStart"/>
      <w:r>
        <w:rPr>
          <w:rFonts w:ascii="Arial" w:hAnsi="Arial" w:cs="Arial"/>
          <w:b/>
          <w:bCs/>
          <w:lang w:val="es-MX"/>
        </w:rPr>
        <w:t>(</w:t>
      </w:r>
      <w:r w:rsidR="002A7053">
        <w:rPr>
          <w:rFonts w:ascii="Arial" w:hAnsi="Arial" w:cs="Arial"/>
          <w:b/>
          <w:bCs/>
          <w:lang w:val="es-MX"/>
        </w:rPr>
        <w:t xml:space="preserve"> </w:t>
      </w:r>
      <w:r w:rsidR="006D047D">
        <w:rPr>
          <w:rFonts w:ascii="Arial" w:hAnsi="Arial" w:cs="Arial"/>
          <w:b/>
          <w:bCs/>
          <w:lang w:val="es-MX"/>
        </w:rPr>
        <w:t>Diciembre</w:t>
      </w:r>
      <w:proofErr w:type="gramEnd"/>
      <w:r w:rsidR="006D047D">
        <w:rPr>
          <w:rFonts w:ascii="Arial" w:hAnsi="Arial" w:cs="Arial"/>
          <w:b/>
          <w:bCs/>
          <w:lang w:val="es-MX"/>
        </w:rPr>
        <w:t xml:space="preserve"> 19</w:t>
      </w:r>
      <w:r w:rsidR="00BA3451">
        <w:rPr>
          <w:rFonts w:ascii="Arial" w:hAnsi="Arial" w:cs="Arial"/>
          <w:b/>
          <w:bCs/>
          <w:lang w:val="es-MX"/>
        </w:rPr>
        <w:t xml:space="preserve"> </w:t>
      </w:r>
      <w:r w:rsidR="00CD2AB7" w:rsidRPr="00D601BB">
        <w:rPr>
          <w:rFonts w:ascii="Arial" w:hAnsi="Arial" w:cs="Arial"/>
          <w:b/>
          <w:bCs/>
          <w:lang w:val="es-MX"/>
        </w:rPr>
        <w:t>)</w:t>
      </w:r>
    </w:p>
    <w:p w:rsidR="00CD2AB7" w:rsidRPr="00EE4FF2" w:rsidRDefault="00CD2AB7" w:rsidP="002B2E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CD2AB7" w:rsidRDefault="00CD2AB7" w:rsidP="002B2E0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EE4FF2">
        <w:rPr>
          <w:rFonts w:ascii="Arial" w:hAnsi="Arial" w:cs="Arial"/>
          <w:b/>
          <w:sz w:val="24"/>
          <w:szCs w:val="24"/>
        </w:rPr>
        <w:t>Señores</w:t>
      </w:r>
    </w:p>
    <w:p w:rsidR="00AB716A" w:rsidRDefault="00AB716A" w:rsidP="002B2E0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FB3596" w:rsidRPr="00770D96" w:rsidRDefault="00FB3596" w:rsidP="002B2E0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BA6BD7" w:rsidRPr="00EE4FF2" w:rsidRDefault="00684879" w:rsidP="002B2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1E2">
        <w:rPr>
          <w:rFonts w:ascii="Arial" w:hAnsi="Arial" w:cs="Arial"/>
          <w:sz w:val="24"/>
          <w:szCs w:val="24"/>
        </w:rPr>
        <w:t>REPRESENTANTES LEGALES</w:t>
      </w:r>
      <w:r>
        <w:rPr>
          <w:rFonts w:ascii="Arial" w:hAnsi="Arial" w:cs="Arial"/>
          <w:sz w:val="24"/>
          <w:szCs w:val="24"/>
        </w:rPr>
        <w:t xml:space="preserve"> DE </w:t>
      </w:r>
      <w:r w:rsidRPr="000161E2">
        <w:rPr>
          <w:rFonts w:ascii="Arial" w:hAnsi="Arial" w:cs="Arial"/>
          <w:sz w:val="24"/>
          <w:szCs w:val="24"/>
        </w:rPr>
        <w:t>SOCIEDADES FIDUCIARIAS, SOCIEDADES ADMINISTRADORAS DE FONDOS DE PENSIONES Y CESANTÍ</w:t>
      </w:r>
      <w:r>
        <w:rPr>
          <w:rFonts w:ascii="Arial" w:hAnsi="Arial" w:cs="Arial"/>
          <w:sz w:val="24"/>
          <w:szCs w:val="24"/>
        </w:rPr>
        <w:t>AS, SOCIEDADES COMISIONISTAS DE</w:t>
      </w:r>
      <w:r w:rsidRPr="000161E2">
        <w:rPr>
          <w:rFonts w:ascii="Arial" w:hAnsi="Arial" w:cs="Arial"/>
          <w:sz w:val="24"/>
          <w:szCs w:val="24"/>
        </w:rPr>
        <w:t xml:space="preserve"> </w:t>
      </w:r>
      <w:r w:rsidR="006D0E0B">
        <w:rPr>
          <w:rFonts w:ascii="Arial" w:hAnsi="Arial" w:cs="Arial"/>
          <w:sz w:val="24"/>
          <w:szCs w:val="24"/>
        </w:rPr>
        <w:t>BOLSA DE VALORES</w:t>
      </w:r>
      <w:r w:rsidRPr="000161E2">
        <w:rPr>
          <w:rFonts w:ascii="Arial" w:hAnsi="Arial" w:cs="Arial"/>
          <w:sz w:val="24"/>
          <w:szCs w:val="24"/>
        </w:rPr>
        <w:t>, SOCIEDADES ADMINISTRADORAS DE INVERSIÓN Y ENTIDADES ASEGURADORAS</w:t>
      </w:r>
      <w:r w:rsidR="00BA6BD7">
        <w:rPr>
          <w:rFonts w:ascii="Arial" w:hAnsi="Arial" w:cs="Arial"/>
          <w:sz w:val="24"/>
          <w:szCs w:val="24"/>
        </w:rPr>
        <w:t>.</w:t>
      </w:r>
    </w:p>
    <w:p w:rsidR="00BA6BD7" w:rsidRDefault="00BA6BD7" w:rsidP="002B2E0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CD2AB7" w:rsidRDefault="00CD2AB7" w:rsidP="002B2E0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EE4FF2">
        <w:rPr>
          <w:rFonts w:ascii="Arial" w:hAnsi="Arial" w:cs="Arial"/>
          <w:b/>
          <w:sz w:val="24"/>
          <w:szCs w:val="24"/>
        </w:rPr>
        <w:t xml:space="preserve">Referencia: </w:t>
      </w:r>
      <w:r w:rsidR="00684879">
        <w:rPr>
          <w:rFonts w:ascii="Arial" w:hAnsi="Arial" w:cs="Arial"/>
          <w:b/>
          <w:sz w:val="24"/>
          <w:szCs w:val="24"/>
        </w:rPr>
        <w:t>Determinación</w:t>
      </w:r>
      <w:r w:rsidR="00684879" w:rsidRPr="00684879">
        <w:rPr>
          <w:rFonts w:ascii="Arial" w:hAnsi="Arial" w:cs="Arial"/>
          <w:b/>
          <w:sz w:val="24"/>
          <w:szCs w:val="24"/>
        </w:rPr>
        <w:t xml:space="preserve"> del </w:t>
      </w:r>
      <w:r w:rsidR="0053540D">
        <w:rPr>
          <w:rFonts w:ascii="Arial" w:hAnsi="Arial" w:cs="Arial"/>
          <w:b/>
          <w:sz w:val="24"/>
          <w:szCs w:val="24"/>
        </w:rPr>
        <w:t>factor de ponderación</w:t>
      </w:r>
      <w:r w:rsidR="003E64E7">
        <w:rPr>
          <w:rFonts w:ascii="Arial" w:hAnsi="Arial" w:cs="Arial"/>
          <w:b/>
          <w:sz w:val="24"/>
          <w:szCs w:val="24"/>
        </w:rPr>
        <w:t xml:space="preserve"> para el c</w:t>
      </w:r>
      <w:r w:rsidR="003E64E7" w:rsidRPr="003E64E7">
        <w:rPr>
          <w:rFonts w:ascii="Arial" w:hAnsi="Arial" w:cs="Arial"/>
          <w:b/>
          <w:sz w:val="24"/>
          <w:szCs w:val="24"/>
        </w:rPr>
        <w:t xml:space="preserve">álculo </w:t>
      </w:r>
      <w:r w:rsidR="00684879" w:rsidRPr="00684879">
        <w:rPr>
          <w:rFonts w:ascii="Arial" w:hAnsi="Arial" w:cs="Arial"/>
          <w:b/>
          <w:sz w:val="24"/>
          <w:szCs w:val="24"/>
        </w:rPr>
        <w:t>del valor de</w:t>
      </w:r>
      <w:r w:rsidR="00D76746">
        <w:rPr>
          <w:rFonts w:ascii="Arial" w:hAnsi="Arial" w:cs="Arial"/>
          <w:b/>
          <w:sz w:val="24"/>
          <w:szCs w:val="24"/>
        </w:rPr>
        <w:t xml:space="preserve"> la exposición por</w:t>
      </w:r>
      <w:r w:rsidR="00684879" w:rsidRPr="00684879">
        <w:rPr>
          <w:rFonts w:ascii="Arial" w:hAnsi="Arial" w:cs="Arial"/>
          <w:b/>
          <w:sz w:val="24"/>
          <w:szCs w:val="24"/>
        </w:rPr>
        <w:t xml:space="preserve"> riesgo operacional </w:t>
      </w:r>
      <w:r w:rsidR="00FA510C">
        <w:rPr>
          <w:rFonts w:ascii="Arial" w:hAnsi="Arial" w:cs="Arial"/>
          <w:b/>
          <w:sz w:val="24"/>
          <w:szCs w:val="24"/>
        </w:rPr>
        <w:t xml:space="preserve">por parte de </w:t>
      </w:r>
      <w:r w:rsidR="00684879" w:rsidRPr="00684879">
        <w:rPr>
          <w:rFonts w:ascii="Arial" w:hAnsi="Arial" w:cs="Arial"/>
          <w:b/>
          <w:sz w:val="24"/>
          <w:szCs w:val="24"/>
        </w:rPr>
        <w:t>las sociedades fiduciarias, sociedades administradoras de fondos de pensiones y cesantías, sociedades comisionistas de bolsa</w:t>
      </w:r>
      <w:r w:rsidR="006D0E0B">
        <w:rPr>
          <w:rFonts w:ascii="Arial" w:hAnsi="Arial" w:cs="Arial"/>
          <w:b/>
          <w:sz w:val="24"/>
          <w:szCs w:val="24"/>
        </w:rPr>
        <w:t xml:space="preserve"> de valores</w:t>
      </w:r>
      <w:r w:rsidR="00684879" w:rsidRPr="00684879">
        <w:rPr>
          <w:rFonts w:ascii="Arial" w:hAnsi="Arial" w:cs="Arial"/>
          <w:b/>
          <w:sz w:val="24"/>
          <w:szCs w:val="24"/>
        </w:rPr>
        <w:t>, sociedades administradoras de inversión y entidades aseguradoras.</w:t>
      </w:r>
    </w:p>
    <w:p w:rsidR="00CD2AB7" w:rsidRPr="00CD2AB7" w:rsidRDefault="00CD2AB7" w:rsidP="002B2E0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CD2AB7" w:rsidRPr="00CD2AB7" w:rsidRDefault="00CD2AB7" w:rsidP="002B2E0E">
      <w:pPr>
        <w:pStyle w:val="Sinespaciado"/>
        <w:contextualSpacing/>
        <w:jc w:val="both"/>
        <w:rPr>
          <w:rFonts w:ascii="Arial" w:hAnsi="Arial" w:cs="Arial"/>
          <w:sz w:val="24"/>
          <w:szCs w:val="24"/>
        </w:rPr>
      </w:pPr>
      <w:r w:rsidRPr="00CD2AB7">
        <w:rPr>
          <w:rFonts w:ascii="Arial" w:hAnsi="Arial" w:cs="Arial"/>
          <w:sz w:val="24"/>
          <w:szCs w:val="24"/>
        </w:rPr>
        <w:t>Respetados señores:</w:t>
      </w:r>
    </w:p>
    <w:p w:rsidR="00684879" w:rsidRDefault="00684879" w:rsidP="002B2E0E">
      <w:pPr>
        <w:pStyle w:val="Sinespaciado"/>
        <w:contextualSpacing/>
        <w:jc w:val="both"/>
        <w:rPr>
          <w:rFonts w:ascii="Arial" w:hAnsi="Arial" w:cs="Arial"/>
          <w:sz w:val="24"/>
          <w:szCs w:val="24"/>
          <w:lang w:val="es-CO"/>
        </w:rPr>
      </w:pPr>
    </w:p>
    <w:p w:rsidR="00B23CB8" w:rsidRDefault="00684879" w:rsidP="002B2E0E">
      <w:pPr>
        <w:spacing w:after="0" w:line="240" w:lineRule="auto"/>
        <w:ind w:right="-36"/>
        <w:jc w:val="both"/>
        <w:rPr>
          <w:rFonts w:ascii="Arial" w:hAnsi="Arial" w:cs="Arial"/>
          <w:sz w:val="24"/>
          <w:szCs w:val="24"/>
          <w:lang w:val="es-MX"/>
        </w:rPr>
      </w:pPr>
      <w:r w:rsidRPr="002C1AAA">
        <w:rPr>
          <w:rFonts w:ascii="Arial" w:hAnsi="Arial" w:cs="Arial"/>
          <w:sz w:val="24"/>
          <w:szCs w:val="24"/>
          <w:lang w:val="es-MX"/>
        </w:rPr>
        <w:t>En virtud de la expedición del Decreto 415 de 2018</w:t>
      </w:r>
      <w:r w:rsidR="0094731C">
        <w:rPr>
          <w:rFonts w:ascii="Arial" w:hAnsi="Arial" w:cs="Arial"/>
          <w:sz w:val="24"/>
          <w:szCs w:val="24"/>
          <w:lang w:val="es-MX"/>
        </w:rPr>
        <w:t>,</w:t>
      </w:r>
      <w:r w:rsidRPr="002C1AAA">
        <w:rPr>
          <w:rFonts w:ascii="Arial" w:hAnsi="Arial" w:cs="Arial"/>
          <w:sz w:val="24"/>
          <w:szCs w:val="24"/>
          <w:lang w:val="es-MX"/>
        </w:rPr>
        <w:t xml:space="preserve"> “por el cual se modifica el Decreto 2555 de 2010 en lo relacionado con el patrimonio adecuado de sociedades fiduciarias, sociedades administradoras de fondos de pensiones y de cesantías, sociedades comisionistas de bolsa</w:t>
      </w:r>
      <w:r w:rsidR="006D0E0B">
        <w:rPr>
          <w:rFonts w:ascii="Arial" w:hAnsi="Arial" w:cs="Arial"/>
          <w:sz w:val="24"/>
          <w:szCs w:val="24"/>
          <w:lang w:val="es-MX"/>
        </w:rPr>
        <w:t xml:space="preserve"> de valores</w:t>
      </w:r>
      <w:r w:rsidRPr="002C1AAA">
        <w:rPr>
          <w:rFonts w:ascii="Arial" w:hAnsi="Arial" w:cs="Arial"/>
          <w:sz w:val="24"/>
          <w:szCs w:val="24"/>
          <w:lang w:val="es-MX"/>
        </w:rPr>
        <w:t>, sociedades administradoras de inversión y entidades aseguradoras”,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2C1AAA">
        <w:rPr>
          <w:rFonts w:ascii="Arial" w:hAnsi="Arial" w:cs="Arial"/>
          <w:sz w:val="24"/>
          <w:szCs w:val="24"/>
          <w:lang w:val="es-MX"/>
        </w:rPr>
        <w:t xml:space="preserve">el Gobierno Nacional consideró necesario </w:t>
      </w:r>
      <w:r w:rsidR="0094731C">
        <w:rPr>
          <w:rFonts w:ascii="Arial" w:hAnsi="Arial" w:cs="Arial"/>
          <w:sz w:val="24"/>
          <w:szCs w:val="24"/>
          <w:lang w:val="es-MX"/>
        </w:rPr>
        <w:t>robustecer</w:t>
      </w:r>
      <w:r w:rsidR="0094731C" w:rsidRPr="002C1AAA">
        <w:rPr>
          <w:rFonts w:ascii="Arial" w:hAnsi="Arial" w:cs="Arial"/>
          <w:sz w:val="24"/>
          <w:szCs w:val="24"/>
          <w:lang w:val="es-MX"/>
        </w:rPr>
        <w:t xml:space="preserve"> </w:t>
      </w:r>
      <w:r w:rsidRPr="002C1AAA">
        <w:rPr>
          <w:rFonts w:ascii="Arial" w:hAnsi="Arial" w:cs="Arial"/>
          <w:sz w:val="24"/>
          <w:szCs w:val="24"/>
          <w:lang w:val="es-MX"/>
        </w:rPr>
        <w:t xml:space="preserve">las normas existentes para la gestión del riesgo operacional </w:t>
      </w:r>
      <w:r w:rsidR="00B23CB8">
        <w:rPr>
          <w:rFonts w:ascii="Arial" w:hAnsi="Arial" w:cs="Arial"/>
          <w:sz w:val="24"/>
          <w:szCs w:val="24"/>
          <w:lang w:val="es-MX"/>
        </w:rPr>
        <w:t xml:space="preserve">de </w:t>
      </w:r>
      <w:r w:rsidR="001B6AC0">
        <w:rPr>
          <w:rFonts w:ascii="Arial" w:hAnsi="Arial" w:cs="Arial"/>
          <w:sz w:val="24"/>
          <w:szCs w:val="24"/>
          <w:lang w:val="es-MX"/>
        </w:rPr>
        <w:t>estas</w:t>
      </w:r>
      <w:r w:rsidRPr="002C1AAA">
        <w:rPr>
          <w:rFonts w:ascii="Arial" w:hAnsi="Arial" w:cs="Arial"/>
          <w:sz w:val="24"/>
          <w:szCs w:val="24"/>
          <w:lang w:val="es-MX"/>
        </w:rPr>
        <w:t xml:space="preserve"> entidades</w:t>
      </w:r>
      <w:r>
        <w:rPr>
          <w:rFonts w:ascii="Arial" w:hAnsi="Arial" w:cs="Arial"/>
          <w:sz w:val="24"/>
          <w:szCs w:val="24"/>
          <w:lang w:val="es-MX"/>
        </w:rPr>
        <w:t>.</w:t>
      </w:r>
      <w:r w:rsidR="00B23CB8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B23CB8" w:rsidRDefault="00B23CB8" w:rsidP="002B2E0E">
      <w:pPr>
        <w:spacing w:after="0" w:line="240" w:lineRule="auto"/>
        <w:ind w:right="-36"/>
        <w:jc w:val="both"/>
        <w:rPr>
          <w:rFonts w:ascii="Arial" w:hAnsi="Arial" w:cs="Arial"/>
          <w:sz w:val="24"/>
          <w:szCs w:val="24"/>
          <w:lang w:val="es-MX"/>
        </w:rPr>
      </w:pPr>
    </w:p>
    <w:p w:rsidR="00684879" w:rsidRPr="00684879" w:rsidRDefault="00B23CB8" w:rsidP="002B2E0E">
      <w:pPr>
        <w:spacing w:after="0" w:line="240" w:lineRule="auto"/>
        <w:ind w:right="-36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En </w:t>
      </w:r>
      <w:r w:rsidR="007D4B70">
        <w:rPr>
          <w:rFonts w:ascii="Arial" w:hAnsi="Arial" w:cs="Arial"/>
          <w:sz w:val="24"/>
          <w:szCs w:val="24"/>
          <w:lang w:val="es-MX"/>
        </w:rPr>
        <w:t>consecuencia</w:t>
      </w:r>
      <w:r>
        <w:rPr>
          <w:rFonts w:ascii="Arial" w:hAnsi="Arial" w:cs="Arial"/>
          <w:sz w:val="24"/>
          <w:szCs w:val="24"/>
          <w:lang w:val="es-MX"/>
        </w:rPr>
        <w:t>, e</w:t>
      </w:r>
      <w:r w:rsidR="00684879">
        <w:rPr>
          <w:rFonts w:ascii="Arial" w:hAnsi="Arial" w:cs="Arial"/>
          <w:sz w:val="24"/>
          <w:szCs w:val="24"/>
          <w:lang w:val="es-MX"/>
        </w:rPr>
        <w:t>l Decreto 415 de 2018</w:t>
      </w:r>
      <w:r w:rsidR="00391805">
        <w:rPr>
          <w:rFonts w:ascii="Arial" w:hAnsi="Arial" w:cs="Arial"/>
          <w:sz w:val="24"/>
          <w:szCs w:val="24"/>
          <w:lang w:val="es-MX"/>
        </w:rPr>
        <w:t xml:space="preserve"> modificó el Decreto 2555 de 2010</w:t>
      </w:r>
      <w:r w:rsidR="00EB1BA3">
        <w:rPr>
          <w:rFonts w:ascii="Arial" w:hAnsi="Arial" w:cs="Arial"/>
          <w:sz w:val="24"/>
          <w:szCs w:val="24"/>
          <w:lang w:val="es-MX"/>
        </w:rPr>
        <w:t>,</w:t>
      </w:r>
      <w:r w:rsidR="00684879">
        <w:rPr>
          <w:rFonts w:ascii="Arial" w:hAnsi="Arial" w:cs="Arial"/>
          <w:sz w:val="24"/>
          <w:szCs w:val="24"/>
          <w:lang w:val="es-MX"/>
        </w:rPr>
        <w:t xml:space="preserve"> </w:t>
      </w:r>
      <w:r w:rsidR="00391805">
        <w:rPr>
          <w:rFonts w:ascii="Arial" w:hAnsi="Arial" w:cs="Arial"/>
          <w:sz w:val="24"/>
          <w:szCs w:val="24"/>
          <w:lang w:val="es-MX"/>
        </w:rPr>
        <w:t xml:space="preserve">estableciendo el 16% </w:t>
      </w:r>
      <w:r w:rsidR="003E64E7">
        <w:rPr>
          <w:rFonts w:ascii="Arial" w:hAnsi="Arial" w:cs="Arial"/>
          <w:sz w:val="24"/>
          <w:szCs w:val="24"/>
          <w:lang w:val="es-MX"/>
        </w:rPr>
        <w:t xml:space="preserve">como </w:t>
      </w:r>
      <w:r w:rsidR="00391805">
        <w:rPr>
          <w:rFonts w:ascii="Arial" w:hAnsi="Arial" w:cs="Arial"/>
          <w:sz w:val="24"/>
          <w:szCs w:val="24"/>
          <w:lang w:val="es-MX"/>
        </w:rPr>
        <w:t xml:space="preserve">factor de ponderación </w:t>
      </w:r>
      <w:r w:rsidR="00924E16">
        <w:rPr>
          <w:rFonts w:ascii="Arial" w:hAnsi="Arial" w:cs="Arial"/>
          <w:sz w:val="24"/>
          <w:szCs w:val="24"/>
          <w:lang w:val="es-MX"/>
        </w:rPr>
        <w:t xml:space="preserve">para el cálculo del </w:t>
      </w:r>
      <w:r w:rsidR="003E64E7">
        <w:rPr>
          <w:rFonts w:ascii="Arial" w:hAnsi="Arial" w:cs="Arial"/>
          <w:sz w:val="24"/>
          <w:szCs w:val="24"/>
          <w:lang w:val="es-MX"/>
        </w:rPr>
        <w:t>valor de la exposición por riesgo operacional,</w:t>
      </w:r>
      <w:r w:rsidR="00391805">
        <w:rPr>
          <w:rFonts w:ascii="Arial" w:hAnsi="Arial" w:cs="Arial"/>
          <w:sz w:val="24"/>
          <w:szCs w:val="24"/>
          <w:lang w:val="es-MX"/>
        </w:rPr>
        <w:t xml:space="preserve"> de acuerdo con lo dispuesto en los artículos 2.5.3.1</w:t>
      </w:r>
      <w:r w:rsidR="0053540D">
        <w:rPr>
          <w:rFonts w:ascii="Arial" w:hAnsi="Arial" w:cs="Arial"/>
          <w:sz w:val="24"/>
          <w:szCs w:val="24"/>
          <w:lang w:val="es-MX"/>
        </w:rPr>
        <w:t xml:space="preserve">.8., 2.6.1.1.7., 2.9.1.1.13. y </w:t>
      </w:r>
      <w:r w:rsidR="00391805">
        <w:rPr>
          <w:rFonts w:ascii="Arial" w:hAnsi="Arial" w:cs="Arial"/>
          <w:sz w:val="24"/>
          <w:szCs w:val="24"/>
          <w:lang w:val="es-MX"/>
        </w:rPr>
        <w:t xml:space="preserve">2.31.1.2.5. </w:t>
      </w:r>
      <w:r w:rsidR="007D4B70">
        <w:rPr>
          <w:rFonts w:ascii="Arial" w:hAnsi="Arial" w:cs="Arial"/>
          <w:sz w:val="24"/>
          <w:szCs w:val="24"/>
          <w:lang w:val="es-MX"/>
        </w:rPr>
        <w:t>Adicionalmente</w:t>
      </w:r>
      <w:r w:rsidR="00684879">
        <w:rPr>
          <w:rFonts w:ascii="Arial" w:hAnsi="Arial" w:cs="Arial"/>
          <w:sz w:val="24"/>
          <w:szCs w:val="24"/>
          <w:lang w:val="es-MX"/>
        </w:rPr>
        <w:t>,</w:t>
      </w:r>
      <w:r w:rsidR="007D4B70">
        <w:rPr>
          <w:rFonts w:ascii="Arial" w:hAnsi="Arial" w:cs="Arial"/>
          <w:sz w:val="24"/>
          <w:szCs w:val="24"/>
          <w:lang w:val="es-MX"/>
        </w:rPr>
        <w:t xml:space="preserve"> se determinó la posibilidad</w:t>
      </w:r>
      <w:r w:rsidR="00684879">
        <w:rPr>
          <w:rFonts w:ascii="Arial" w:hAnsi="Arial" w:cs="Arial"/>
          <w:sz w:val="24"/>
          <w:szCs w:val="24"/>
          <w:lang w:val="es-MX"/>
        </w:rPr>
        <w:t xml:space="preserve"> </w:t>
      </w:r>
      <w:r w:rsidR="007D4B70">
        <w:rPr>
          <w:rFonts w:ascii="Arial" w:hAnsi="Arial" w:cs="Arial"/>
          <w:sz w:val="24"/>
          <w:szCs w:val="24"/>
          <w:lang w:val="es-MX"/>
        </w:rPr>
        <w:t>de</w:t>
      </w:r>
      <w:r w:rsidR="00684879">
        <w:rPr>
          <w:rFonts w:ascii="Arial" w:hAnsi="Arial" w:cs="Arial"/>
          <w:sz w:val="24"/>
          <w:szCs w:val="24"/>
          <w:lang w:val="es-MX"/>
        </w:rPr>
        <w:t xml:space="preserve"> disminuir</w:t>
      </w:r>
      <w:r w:rsidR="00FA510C">
        <w:rPr>
          <w:rFonts w:ascii="Arial" w:hAnsi="Arial" w:cs="Arial"/>
          <w:sz w:val="24"/>
          <w:szCs w:val="24"/>
          <w:lang w:val="es-MX"/>
        </w:rPr>
        <w:t xml:space="preserve"> </w:t>
      </w:r>
      <w:r w:rsidR="007D4B70">
        <w:rPr>
          <w:rFonts w:ascii="Arial" w:hAnsi="Arial" w:cs="Arial"/>
          <w:sz w:val="24"/>
          <w:szCs w:val="24"/>
          <w:lang w:val="es-MX"/>
        </w:rPr>
        <w:t xml:space="preserve">este </w:t>
      </w:r>
      <w:r w:rsidR="00391805">
        <w:rPr>
          <w:rFonts w:ascii="Arial" w:hAnsi="Arial" w:cs="Arial"/>
          <w:sz w:val="24"/>
          <w:szCs w:val="24"/>
          <w:lang w:val="es-MX"/>
        </w:rPr>
        <w:t>factor</w:t>
      </w:r>
      <w:r w:rsidR="007D4B70">
        <w:rPr>
          <w:rFonts w:ascii="Arial" w:hAnsi="Arial" w:cs="Arial"/>
          <w:sz w:val="24"/>
          <w:szCs w:val="24"/>
          <w:lang w:val="es-MX"/>
        </w:rPr>
        <w:t xml:space="preserve"> </w:t>
      </w:r>
      <w:r w:rsidR="00FA510C">
        <w:rPr>
          <w:rFonts w:ascii="Arial" w:hAnsi="Arial" w:cs="Arial"/>
          <w:sz w:val="24"/>
          <w:szCs w:val="24"/>
          <w:lang w:val="es-MX"/>
        </w:rPr>
        <w:t>de manera diferencial</w:t>
      </w:r>
      <w:r w:rsidR="00684879">
        <w:rPr>
          <w:rFonts w:ascii="Arial" w:hAnsi="Arial" w:cs="Arial"/>
          <w:sz w:val="24"/>
          <w:szCs w:val="24"/>
          <w:lang w:val="es-MX"/>
        </w:rPr>
        <w:t xml:space="preserve"> hasta un 12%, conforme a los criterios que de manera específica </w:t>
      </w:r>
      <w:r w:rsidR="0094731C">
        <w:rPr>
          <w:rFonts w:ascii="Arial" w:hAnsi="Arial" w:cs="Arial"/>
          <w:sz w:val="24"/>
          <w:szCs w:val="24"/>
          <w:lang w:val="es-MX"/>
        </w:rPr>
        <w:t xml:space="preserve">señale </w:t>
      </w:r>
      <w:r w:rsidR="0053540D">
        <w:rPr>
          <w:rFonts w:ascii="Arial" w:hAnsi="Arial" w:cs="Arial"/>
          <w:sz w:val="24"/>
          <w:szCs w:val="24"/>
          <w:lang w:val="es-MX"/>
        </w:rPr>
        <w:t>la Superintendencia Financiera de Colombia (SFC)</w:t>
      </w:r>
      <w:r w:rsidR="00684879">
        <w:rPr>
          <w:rFonts w:ascii="Arial" w:hAnsi="Arial" w:cs="Arial"/>
          <w:sz w:val="24"/>
          <w:szCs w:val="24"/>
          <w:lang w:val="es-MX"/>
        </w:rPr>
        <w:t>.</w:t>
      </w:r>
    </w:p>
    <w:p w:rsidR="007D4B70" w:rsidRDefault="007D4B70" w:rsidP="002B2E0E">
      <w:pPr>
        <w:spacing w:after="0" w:line="240" w:lineRule="auto"/>
        <w:ind w:right="-36"/>
        <w:jc w:val="both"/>
        <w:rPr>
          <w:rFonts w:ascii="Arial" w:hAnsi="Arial" w:cs="Arial"/>
          <w:sz w:val="24"/>
          <w:szCs w:val="24"/>
        </w:rPr>
      </w:pPr>
    </w:p>
    <w:p w:rsidR="00BA6BD7" w:rsidRDefault="00FA510C" w:rsidP="002B2E0E">
      <w:pPr>
        <w:spacing w:after="0" w:line="240" w:lineRule="auto"/>
        <w:ind w:right="-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</w:t>
      </w:r>
      <w:r w:rsidR="001B6AC0">
        <w:rPr>
          <w:rFonts w:ascii="Arial" w:hAnsi="Arial" w:cs="Arial"/>
          <w:sz w:val="24"/>
          <w:szCs w:val="24"/>
        </w:rPr>
        <w:t xml:space="preserve">n el propósito de </w:t>
      </w:r>
      <w:r w:rsidR="00D76746">
        <w:rPr>
          <w:rFonts w:ascii="Arial" w:hAnsi="Arial" w:cs="Arial"/>
          <w:sz w:val="24"/>
          <w:szCs w:val="24"/>
        </w:rPr>
        <w:t>establecer</w:t>
      </w:r>
      <w:r w:rsidR="001B6AC0">
        <w:rPr>
          <w:rFonts w:ascii="Arial" w:hAnsi="Arial" w:cs="Arial"/>
          <w:sz w:val="24"/>
          <w:szCs w:val="24"/>
        </w:rPr>
        <w:t xml:space="preserve"> </w:t>
      </w:r>
      <w:r w:rsidR="007D4B70">
        <w:rPr>
          <w:rFonts w:ascii="Arial" w:hAnsi="Arial" w:cs="Arial"/>
          <w:sz w:val="24"/>
          <w:szCs w:val="24"/>
        </w:rPr>
        <w:t>los mencionados crite</w:t>
      </w:r>
      <w:r w:rsidR="00391805">
        <w:rPr>
          <w:rFonts w:ascii="Arial" w:hAnsi="Arial" w:cs="Arial"/>
          <w:sz w:val="24"/>
          <w:szCs w:val="24"/>
        </w:rPr>
        <w:t>rios, esta Superintendencia diseñó</w:t>
      </w:r>
      <w:r w:rsidR="007D4B70">
        <w:rPr>
          <w:rFonts w:ascii="Arial" w:hAnsi="Arial" w:cs="Arial"/>
          <w:sz w:val="24"/>
          <w:szCs w:val="24"/>
        </w:rPr>
        <w:t xml:space="preserve"> la “Autoevaluación para Determinar el </w:t>
      </w:r>
      <w:r w:rsidR="00391805">
        <w:rPr>
          <w:rFonts w:ascii="Arial" w:hAnsi="Arial" w:cs="Arial"/>
          <w:sz w:val="24"/>
          <w:szCs w:val="24"/>
        </w:rPr>
        <w:t>Factor de Ponderación</w:t>
      </w:r>
      <w:r w:rsidR="007D4B70">
        <w:rPr>
          <w:rFonts w:ascii="Arial" w:hAnsi="Arial" w:cs="Arial"/>
          <w:sz w:val="24"/>
          <w:szCs w:val="24"/>
        </w:rPr>
        <w:t xml:space="preserve"> para el Cálculo del Valor</w:t>
      </w:r>
      <w:r w:rsidR="007D4B70" w:rsidRPr="007D4B70">
        <w:rPr>
          <w:rFonts w:ascii="Arial" w:hAnsi="Arial" w:cs="Arial"/>
          <w:sz w:val="24"/>
          <w:szCs w:val="24"/>
        </w:rPr>
        <w:t xml:space="preserve"> </w:t>
      </w:r>
      <w:r w:rsidR="007D4B70" w:rsidRPr="00952CA9">
        <w:rPr>
          <w:rFonts w:ascii="Arial" w:hAnsi="Arial" w:cs="Arial"/>
          <w:sz w:val="24"/>
          <w:szCs w:val="24"/>
        </w:rPr>
        <w:t>de la Exposición por Riesgo Operacional</w:t>
      </w:r>
      <w:r w:rsidR="007D4B70">
        <w:rPr>
          <w:rFonts w:ascii="Arial" w:hAnsi="Arial" w:cs="Arial"/>
          <w:sz w:val="24"/>
          <w:szCs w:val="24"/>
        </w:rPr>
        <w:t>”</w:t>
      </w:r>
      <w:r w:rsidR="003E64E7">
        <w:rPr>
          <w:rFonts w:ascii="Arial" w:hAnsi="Arial" w:cs="Arial"/>
          <w:sz w:val="24"/>
          <w:szCs w:val="24"/>
        </w:rPr>
        <w:t>,</w:t>
      </w:r>
      <w:r w:rsidR="007D4B70">
        <w:rPr>
          <w:rFonts w:ascii="Arial" w:hAnsi="Arial" w:cs="Arial"/>
          <w:sz w:val="24"/>
          <w:szCs w:val="24"/>
        </w:rPr>
        <w:t xml:space="preserve"> que debe ser </w:t>
      </w:r>
      <w:r w:rsidR="00391805">
        <w:rPr>
          <w:rFonts w:ascii="Arial" w:hAnsi="Arial" w:cs="Arial"/>
          <w:sz w:val="24"/>
          <w:szCs w:val="24"/>
        </w:rPr>
        <w:t>aprobada</w:t>
      </w:r>
      <w:r w:rsidR="007D4B70">
        <w:rPr>
          <w:rFonts w:ascii="Arial" w:hAnsi="Arial" w:cs="Arial"/>
          <w:sz w:val="24"/>
          <w:szCs w:val="24"/>
        </w:rPr>
        <w:t xml:space="preserve"> por </w:t>
      </w:r>
      <w:r w:rsidR="00AA5B17">
        <w:rPr>
          <w:rFonts w:ascii="Arial" w:hAnsi="Arial" w:cs="Arial"/>
          <w:sz w:val="24"/>
          <w:szCs w:val="24"/>
        </w:rPr>
        <w:t>el Comité de Auditoría I</w:t>
      </w:r>
      <w:r w:rsidR="00AA5B17" w:rsidRPr="006832DB">
        <w:rPr>
          <w:rFonts w:ascii="Arial" w:hAnsi="Arial" w:cs="Arial"/>
          <w:sz w:val="24"/>
          <w:szCs w:val="24"/>
        </w:rPr>
        <w:t>nterna</w:t>
      </w:r>
      <w:r w:rsidR="00AA5B1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las entidades destinatarias de la presente Ci</w:t>
      </w:r>
      <w:r w:rsidR="00B23CB8">
        <w:rPr>
          <w:rFonts w:ascii="Arial" w:hAnsi="Arial" w:cs="Arial"/>
          <w:sz w:val="24"/>
          <w:szCs w:val="24"/>
        </w:rPr>
        <w:t>rcular</w:t>
      </w:r>
      <w:r w:rsidR="002B2E0E">
        <w:rPr>
          <w:rFonts w:ascii="Arial" w:hAnsi="Arial" w:cs="Arial"/>
          <w:sz w:val="24"/>
          <w:szCs w:val="24"/>
        </w:rPr>
        <w:t xml:space="preserve"> Externa</w:t>
      </w:r>
      <w:r w:rsidR="007D4B70">
        <w:rPr>
          <w:rFonts w:ascii="Arial" w:hAnsi="Arial" w:cs="Arial"/>
          <w:sz w:val="24"/>
          <w:szCs w:val="24"/>
        </w:rPr>
        <w:t>.</w:t>
      </w:r>
    </w:p>
    <w:p w:rsidR="00FB3596" w:rsidRDefault="00FB3596" w:rsidP="002B2E0E">
      <w:pPr>
        <w:spacing w:after="0" w:line="240" w:lineRule="auto"/>
        <w:ind w:right="-36"/>
        <w:jc w:val="both"/>
        <w:rPr>
          <w:rFonts w:ascii="Arial" w:hAnsi="Arial" w:cs="Arial"/>
          <w:sz w:val="24"/>
          <w:szCs w:val="24"/>
        </w:rPr>
      </w:pPr>
    </w:p>
    <w:p w:rsidR="00FB3596" w:rsidRDefault="001B6AC0" w:rsidP="002B2E0E">
      <w:pPr>
        <w:spacing w:after="0" w:line="240" w:lineRule="auto"/>
        <w:ind w:right="-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391805">
        <w:rPr>
          <w:rFonts w:ascii="Arial" w:hAnsi="Arial" w:cs="Arial"/>
          <w:sz w:val="24"/>
          <w:szCs w:val="24"/>
        </w:rPr>
        <w:t>factor de ponderación</w:t>
      </w:r>
      <w:r w:rsidR="007D4B70">
        <w:rPr>
          <w:rFonts w:ascii="Arial" w:hAnsi="Arial" w:cs="Arial"/>
          <w:sz w:val="24"/>
          <w:szCs w:val="24"/>
        </w:rPr>
        <w:t xml:space="preserve"> </w:t>
      </w:r>
      <w:r w:rsidR="0094731C">
        <w:rPr>
          <w:rFonts w:ascii="Arial" w:hAnsi="Arial" w:cs="Arial"/>
          <w:sz w:val="24"/>
          <w:szCs w:val="24"/>
        </w:rPr>
        <w:t xml:space="preserve">obtenido en </w:t>
      </w:r>
      <w:r>
        <w:rPr>
          <w:rFonts w:ascii="Arial" w:hAnsi="Arial" w:cs="Arial"/>
          <w:sz w:val="24"/>
          <w:szCs w:val="24"/>
        </w:rPr>
        <w:t xml:space="preserve">la </w:t>
      </w:r>
      <w:r w:rsidR="007D4B70">
        <w:rPr>
          <w:rFonts w:ascii="Arial" w:hAnsi="Arial" w:cs="Arial"/>
          <w:sz w:val="24"/>
          <w:szCs w:val="24"/>
        </w:rPr>
        <w:t>Autoevaluación</w:t>
      </w:r>
      <w:r>
        <w:rPr>
          <w:rFonts w:ascii="Arial" w:hAnsi="Arial" w:cs="Arial"/>
          <w:sz w:val="24"/>
          <w:szCs w:val="24"/>
        </w:rPr>
        <w:t xml:space="preserve"> debe ser utilizado para </w:t>
      </w:r>
      <w:r w:rsidR="007D4B70">
        <w:rPr>
          <w:rFonts w:ascii="Arial" w:hAnsi="Arial" w:cs="Arial"/>
          <w:sz w:val="24"/>
          <w:szCs w:val="24"/>
        </w:rPr>
        <w:t xml:space="preserve">la determinación del valor de la exposición por riesgo operacional a la que se refiere el </w:t>
      </w:r>
    </w:p>
    <w:p w:rsidR="00384AA8" w:rsidRDefault="007D4B70" w:rsidP="002B2E0E">
      <w:pPr>
        <w:spacing w:after="0" w:line="240" w:lineRule="auto"/>
        <w:ind w:right="-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Decreto 415 de 2018</w:t>
      </w:r>
      <w:r w:rsidR="00391805">
        <w:rPr>
          <w:rFonts w:ascii="Arial" w:hAnsi="Arial" w:cs="Arial"/>
          <w:sz w:val="24"/>
          <w:szCs w:val="24"/>
        </w:rPr>
        <w:t xml:space="preserve"> y</w:t>
      </w:r>
      <w:r w:rsidR="0053540D">
        <w:rPr>
          <w:rFonts w:ascii="Arial" w:hAnsi="Arial" w:cs="Arial"/>
          <w:sz w:val="24"/>
          <w:szCs w:val="24"/>
        </w:rPr>
        <w:t>,</w:t>
      </w:r>
      <w:r w:rsidR="00391805">
        <w:rPr>
          <w:rFonts w:ascii="Arial" w:hAnsi="Arial" w:cs="Arial"/>
          <w:sz w:val="24"/>
          <w:szCs w:val="24"/>
        </w:rPr>
        <w:t xml:space="preserve"> en consecuencia</w:t>
      </w:r>
      <w:r w:rsidR="0053540D">
        <w:rPr>
          <w:rFonts w:ascii="Arial" w:hAnsi="Arial" w:cs="Arial"/>
          <w:sz w:val="24"/>
          <w:szCs w:val="24"/>
        </w:rPr>
        <w:t>,</w:t>
      </w:r>
      <w:r w:rsidR="00391805">
        <w:rPr>
          <w:rFonts w:ascii="Arial" w:hAnsi="Arial" w:cs="Arial"/>
          <w:sz w:val="24"/>
          <w:szCs w:val="24"/>
        </w:rPr>
        <w:t xml:space="preserve"> para la determinación de la relación de solvencia.</w:t>
      </w:r>
    </w:p>
    <w:p w:rsidR="00B23CB8" w:rsidRDefault="00B23CB8" w:rsidP="002B2E0E">
      <w:pPr>
        <w:spacing w:after="0" w:line="240" w:lineRule="auto"/>
        <w:ind w:right="-36"/>
        <w:jc w:val="both"/>
        <w:rPr>
          <w:rFonts w:ascii="Arial" w:hAnsi="Arial" w:cs="Arial"/>
          <w:sz w:val="24"/>
          <w:szCs w:val="24"/>
        </w:rPr>
      </w:pPr>
    </w:p>
    <w:p w:rsidR="00570A83" w:rsidRDefault="001B6AC0" w:rsidP="00570A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 w:rsidR="00DA2B89">
        <w:rPr>
          <w:rFonts w:ascii="Arial" w:hAnsi="Arial" w:cs="Arial"/>
          <w:sz w:val="24"/>
          <w:szCs w:val="24"/>
        </w:rPr>
        <w:t xml:space="preserve"> cálculo de la relación de solvencia y la “</w:t>
      </w:r>
      <w:r w:rsidR="003E64E7">
        <w:rPr>
          <w:rFonts w:ascii="Arial" w:hAnsi="Arial" w:cs="Arial"/>
          <w:sz w:val="24"/>
          <w:szCs w:val="24"/>
        </w:rPr>
        <w:t xml:space="preserve">Autoevaluación para Determinar el </w:t>
      </w:r>
      <w:r w:rsidR="0053540D">
        <w:rPr>
          <w:rFonts w:ascii="Arial" w:hAnsi="Arial" w:cs="Arial"/>
          <w:sz w:val="24"/>
          <w:szCs w:val="24"/>
        </w:rPr>
        <w:t>Factor de Ponderación</w:t>
      </w:r>
      <w:r w:rsidR="003E64E7">
        <w:rPr>
          <w:rFonts w:ascii="Arial" w:hAnsi="Arial" w:cs="Arial"/>
          <w:sz w:val="24"/>
          <w:szCs w:val="24"/>
        </w:rPr>
        <w:t xml:space="preserve"> para el Cálculo del Valor</w:t>
      </w:r>
      <w:r w:rsidR="003E64E7" w:rsidRPr="007D4B70">
        <w:rPr>
          <w:rFonts w:ascii="Arial" w:hAnsi="Arial" w:cs="Arial"/>
          <w:sz w:val="24"/>
          <w:szCs w:val="24"/>
        </w:rPr>
        <w:t xml:space="preserve"> </w:t>
      </w:r>
      <w:r w:rsidR="003E64E7" w:rsidRPr="00952CA9">
        <w:rPr>
          <w:rFonts w:ascii="Arial" w:hAnsi="Arial" w:cs="Arial"/>
          <w:sz w:val="24"/>
          <w:szCs w:val="24"/>
        </w:rPr>
        <w:t>de la Exposición por Riesgo Operacional</w:t>
      </w:r>
      <w:r w:rsidR="00DA2B89">
        <w:rPr>
          <w:rFonts w:ascii="Arial" w:hAnsi="Arial" w:cs="Arial"/>
          <w:sz w:val="24"/>
          <w:szCs w:val="24"/>
        </w:rPr>
        <w:t xml:space="preserve">” </w:t>
      </w:r>
      <w:r w:rsidR="00DA2B89" w:rsidRPr="00DA2B89">
        <w:rPr>
          <w:rFonts w:ascii="Arial" w:hAnsi="Arial" w:cs="Arial"/>
          <w:sz w:val="24"/>
          <w:szCs w:val="24"/>
        </w:rPr>
        <w:t xml:space="preserve">deben estar a disposición de </w:t>
      </w:r>
      <w:r>
        <w:rPr>
          <w:rFonts w:ascii="Arial" w:hAnsi="Arial" w:cs="Arial"/>
          <w:sz w:val="24"/>
          <w:szCs w:val="24"/>
        </w:rPr>
        <w:t>la SFC cuando e</w:t>
      </w:r>
      <w:r w:rsidR="00DA2B89" w:rsidRPr="00DA2B89">
        <w:rPr>
          <w:rFonts w:ascii="Arial" w:hAnsi="Arial" w:cs="Arial"/>
          <w:sz w:val="24"/>
          <w:szCs w:val="24"/>
        </w:rPr>
        <w:t>sta lo requiera</w:t>
      </w:r>
      <w:r w:rsidR="00DA2B89">
        <w:rPr>
          <w:rFonts w:ascii="Arial" w:hAnsi="Arial" w:cs="Arial"/>
          <w:sz w:val="24"/>
          <w:szCs w:val="24"/>
        </w:rPr>
        <w:t>.</w:t>
      </w:r>
      <w:r w:rsidR="00570A83" w:rsidRPr="00570A83">
        <w:rPr>
          <w:rFonts w:ascii="Arial" w:hAnsi="Arial" w:cs="Arial"/>
          <w:sz w:val="24"/>
          <w:szCs w:val="24"/>
        </w:rPr>
        <w:t xml:space="preserve"> </w:t>
      </w:r>
    </w:p>
    <w:p w:rsidR="00570A83" w:rsidRPr="00FB3596" w:rsidRDefault="00570A83" w:rsidP="00570A83">
      <w:pPr>
        <w:spacing w:after="0" w:line="240" w:lineRule="auto"/>
        <w:rPr>
          <w:rFonts w:ascii="Arial" w:hAnsi="Arial" w:cs="Arial"/>
          <w:sz w:val="24"/>
          <w:szCs w:val="24"/>
        </w:rPr>
        <w:sectPr w:rsidR="00570A83" w:rsidRPr="00FB3596" w:rsidSect="00C26814">
          <w:headerReference w:type="default" r:id="rId8"/>
          <w:pgSz w:w="12242" w:h="18722" w:code="257"/>
          <w:pgMar w:top="1417" w:right="1701" w:bottom="1417" w:left="1701" w:header="708" w:footer="708" w:gutter="0"/>
          <w:cols w:space="708"/>
          <w:docGrid w:linePitch="360"/>
        </w:sectPr>
      </w:pPr>
    </w:p>
    <w:p w:rsidR="00EB1BA3" w:rsidRDefault="00EB1BA3" w:rsidP="002B2E0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Para el correcto diligenciamiento de la mencionada </w:t>
      </w:r>
      <w:r w:rsidR="003E64E7">
        <w:rPr>
          <w:rFonts w:ascii="Arial" w:hAnsi="Arial" w:cs="Arial"/>
          <w:sz w:val="24"/>
          <w:szCs w:val="24"/>
        </w:rPr>
        <w:t>Autoevaluación</w:t>
      </w:r>
      <w:r w:rsidRPr="006832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solicita a las entidades atender lo dispuesto en 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l instructivo anexo.</w:t>
      </w:r>
    </w:p>
    <w:p w:rsidR="004D4C2D" w:rsidRDefault="004D4C2D" w:rsidP="002B2E0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D4C2D" w:rsidRDefault="005634EC" w:rsidP="002B2E0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</w:t>
      </w:r>
      <w:r w:rsidR="004D4C2D">
        <w:rPr>
          <w:rFonts w:ascii="Arial" w:hAnsi="Arial" w:cs="Arial"/>
          <w:sz w:val="24"/>
          <w:szCs w:val="24"/>
        </w:rPr>
        <w:t xml:space="preserve"> entidades destinatarias de la presente Circular </w:t>
      </w:r>
      <w:r w:rsidR="002B2E0E">
        <w:rPr>
          <w:rFonts w:ascii="Arial" w:hAnsi="Arial" w:cs="Arial"/>
          <w:sz w:val="24"/>
          <w:szCs w:val="24"/>
        </w:rPr>
        <w:t xml:space="preserve">Externa </w:t>
      </w:r>
      <w:r w:rsidR="004D4C2D">
        <w:rPr>
          <w:rFonts w:ascii="Arial" w:hAnsi="Arial" w:cs="Arial"/>
          <w:sz w:val="24"/>
          <w:szCs w:val="24"/>
        </w:rPr>
        <w:t xml:space="preserve">que requieran hacer </w:t>
      </w:r>
      <w:r>
        <w:rPr>
          <w:rFonts w:ascii="Arial" w:hAnsi="Arial" w:cs="Arial"/>
          <w:sz w:val="24"/>
          <w:szCs w:val="24"/>
        </w:rPr>
        <w:t>algún tipo de adecuación</w:t>
      </w:r>
      <w:r w:rsidR="004D4C2D">
        <w:rPr>
          <w:rFonts w:ascii="Arial" w:hAnsi="Arial" w:cs="Arial"/>
          <w:sz w:val="24"/>
          <w:szCs w:val="24"/>
        </w:rPr>
        <w:t xml:space="preserve"> </w:t>
      </w:r>
      <w:r w:rsidR="005B4990">
        <w:rPr>
          <w:rFonts w:ascii="Arial" w:hAnsi="Arial" w:cs="Arial"/>
          <w:sz w:val="24"/>
          <w:szCs w:val="24"/>
        </w:rPr>
        <w:t xml:space="preserve">para </w:t>
      </w:r>
      <w:r w:rsidR="004D4C2D">
        <w:rPr>
          <w:rFonts w:ascii="Arial" w:hAnsi="Arial" w:cs="Arial"/>
          <w:sz w:val="24"/>
          <w:szCs w:val="24"/>
        </w:rPr>
        <w:t>implementar lo dispuesto en el Decreto 415 de 2018 y dar cumplimiento a lo contenido en esta Circular</w:t>
      </w:r>
      <w:r w:rsidR="00570A83">
        <w:rPr>
          <w:rFonts w:ascii="Arial" w:hAnsi="Arial" w:cs="Arial"/>
          <w:sz w:val="24"/>
          <w:szCs w:val="24"/>
        </w:rPr>
        <w:t xml:space="preserve"> Externa</w:t>
      </w:r>
      <w:r w:rsidR="004D4C2D">
        <w:rPr>
          <w:rFonts w:ascii="Arial" w:hAnsi="Arial" w:cs="Arial"/>
          <w:sz w:val="24"/>
          <w:szCs w:val="24"/>
        </w:rPr>
        <w:t xml:space="preserve">, pueden </w:t>
      </w:r>
      <w:r>
        <w:rPr>
          <w:rFonts w:ascii="Arial" w:hAnsi="Arial" w:cs="Arial"/>
          <w:sz w:val="24"/>
          <w:szCs w:val="24"/>
        </w:rPr>
        <w:t>hacer</w:t>
      </w:r>
      <w:r w:rsidR="004D4C2D">
        <w:rPr>
          <w:rFonts w:ascii="Arial" w:hAnsi="Arial" w:cs="Arial"/>
          <w:sz w:val="24"/>
          <w:szCs w:val="24"/>
        </w:rPr>
        <w:t xml:space="preserve"> uso del término de </w:t>
      </w:r>
      <w:r>
        <w:rPr>
          <w:rFonts w:ascii="Arial" w:hAnsi="Arial" w:cs="Arial"/>
          <w:sz w:val="24"/>
          <w:szCs w:val="24"/>
        </w:rPr>
        <w:t xml:space="preserve">hasta </w:t>
      </w:r>
      <w:r w:rsidR="004D4C2D">
        <w:rPr>
          <w:rFonts w:ascii="Arial" w:hAnsi="Arial" w:cs="Arial"/>
          <w:sz w:val="24"/>
          <w:szCs w:val="24"/>
        </w:rPr>
        <w:t>seis (6) meses señalado en el artículo 8 del mencionado Decreto</w:t>
      </w:r>
      <w:r w:rsidR="005B499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lo cual, deben comunicar a esta SFC dicha determinación</w:t>
      </w:r>
      <w:r w:rsidR="004D4C2D">
        <w:rPr>
          <w:rFonts w:ascii="Arial" w:hAnsi="Arial" w:cs="Arial"/>
          <w:sz w:val="24"/>
          <w:szCs w:val="24"/>
        </w:rPr>
        <w:t xml:space="preserve">. </w:t>
      </w:r>
      <w:r w:rsidR="00570A83">
        <w:rPr>
          <w:rFonts w:ascii="Arial" w:hAnsi="Arial" w:cs="Arial"/>
          <w:sz w:val="24"/>
          <w:szCs w:val="24"/>
        </w:rPr>
        <w:t xml:space="preserve"> </w:t>
      </w:r>
    </w:p>
    <w:p w:rsidR="00EB1BA3" w:rsidRDefault="00EB1BA3" w:rsidP="002B2E0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B1BA3" w:rsidRDefault="00EB1BA3" w:rsidP="002B2E0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adjunta la “</w:t>
      </w:r>
      <w:r w:rsidR="003E64E7">
        <w:rPr>
          <w:rFonts w:ascii="Arial" w:hAnsi="Arial" w:cs="Arial"/>
          <w:sz w:val="24"/>
          <w:szCs w:val="24"/>
        </w:rPr>
        <w:t xml:space="preserve">Autoevaluación para Determinar el </w:t>
      </w:r>
      <w:r w:rsidR="0053540D">
        <w:rPr>
          <w:rFonts w:ascii="Arial" w:hAnsi="Arial" w:cs="Arial"/>
          <w:sz w:val="24"/>
          <w:szCs w:val="24"/>
        </w:rPr>
        <w:t>Factor de Ponderación</w:t>
      </w:r>
      <w:r w:rsidR="00924E16">
        <w:rPr>
          <w:rFonts w:ascii="Arial" w:hAnsi="Arial" w:cs="Arial"/>
          <w:sz w:val="24"/>
          <w:szCs w:val="24"/>
        </w:rPr>
        <w:t xml:space="preserve"> </w:t>
      </w:r>
      <w:r w:rsidR="003E64E7">
        <w:rPr>
          <w:rFonts w:ascii="Arial" w:hAnsi="Arial" w:cs="Arial"/>
          <w:sz w:val="24"/>
          <w:szCs w:val="24"/>
        </w:rPr>
        <w:t>para el Cálculo del Valor</w:t>
      </w:r>
      <w:r w:rsidR="003E64E7" w:rsidRPr="007D4B70">
        <w:rPr>
          <w:rFonts w:ascii="Arial" w:hAnsi="Arial" w:cs="Arial"/>
          <w:sz w:val="24"/>
          <w:szCs w:val="24"/>
        </w:rPr>
        <w:t xml:space="preserve"> </w:t>
      </w:r>
      <w:r w:rsidR="003E64E7" w:rsidRPr="00952CA9">
        <w:rPr>
          <w:rFonts w:ascii="Arial" w:hAnsi="Arial" w:cs="Arial"/>
          <w:sz w:val="24"/>
          <w:szCs w:val="24"/>
        </w:rPr>
        <w:t>de la Exposición por Riesgo Operacional</w:t>
      </w:r>
      <w:r>
        <w:rPr>
          <w:rFonts w:ascii="Arial" w:hAnsi="Arial" w:cs="Arial"/>
          <w:sz w:val="24"/>
          <w:szCs w:val="24"/>
        </w:rPr>
        <w:t>” y el instructivo correspondiente.</w:t>
      </w:r>
    </w:p>
    <w:p w:rsidR="009A2E60" w:rsidRDefault="009A2E60" w:rsidP="002B2E0E">
      <w:pPr>
        <w:pStyle w:val="Sinespaciado"/>
        <w:contextualSpacing/>
        <w:jc w:val="both"/>
        <w:rPr>
          <w:rFonts w:ascii="Arial" w:hAnsi="Arial" w:cs="Arial"/>
          <w:sz w:val="24"/>
          <w:szCs w:val="24"/>
        </w:rPr>
      </w:pPr>
    </w:p>
    <w:p w:rsidR="00BA4F70" w:rsidRDefault="00BA4F70" w:rsidP="002B2E0E">
      <w:pPr>
        <w:pStyle w:val="Sinespaciado"/>
        <w:contextualSpacing/>
        <w:jc w:val="both"/>
        <w:rPr>
          <w:rFonts w:ascii="Arial" w:hAnsi="Arial" w:cs="Arial"/>
          <w:sz w:val="24"/>
          <w:szCs w:val="24"/>
        </w:rPr>
      </w:pPr>
    </w:p>
    <w:p w:rsidR="00EB1BA3" w:rsidRDefault="00EB1BA3" w:rsidP="002B2E0E">
      <w:pPr>
        <w:pStyle w:val="Sinespaciado"/>
        <w:contextualSpacing/>
        <w:jc w:val="both"/>
        <w:rPr>
          <w:rFonts w:ascii="Arial" w:hAnsi="Arial" w:cs="Arial"/>
          <w:sz w:val="24"/>
          <w:szCs w:val="24"/>
        </w:rPr>
      </w:pPr>
    </w:p>
    <w:p w:rsidR="001618FA" w:rsidRDefault="001618FA" w:rsidP="002B2E0E">
      <w:pPr>
        <w:pStyle w:val="Sinespaciado"/>
        <w:contextualSpacing/>
        <w:jc w:val="both"/>
        <w:rPr>
          <w:rFonts w:ascii="Arial" w:hAnsi="Arial" w:cs="Arial"/>
          <w:sz w:val="24"/>
          <w:szCs w:val="24"/>
        </w:rPr>
      </w:pPr>
      <w:r w:rsidRPr="00484C8C">
        <w:rPr>
          <w:rFonts w:ascii="Arial" w:hAnsi="Arial" w:cs="Arial"/>
          <w:sz w:val="24"/>
          <w:szCs w:val="24"/>
        </w:rPr>
        <w:t>Cordialmente,</w:t>
      </w:r>
    </w:p>
    <w:p w:rsidR="001618FA" w:rsidRDefault="001618FA" w:rsidP="002B2E0E">
      <w:pPr>
        <w:pStyle w:val="Sinespaciado"/>
        <w:contextualSpacing/>
        <w:jc w:val="both"/>
        <w:rPr>
          <w:rFonts w:ascii="Arial" w:hAnsi="Arial" w:cs="Arial"/>
          <w:sz w:val="24"/>
          <w:szCs w:val="24"/>
          <w:lang w:val="es-CO"/>
        </w:rPr>
      </w:pPr>
    </w:p>
    <w:p w:rsidR="00EB1BA3" w:rsidRDefault="00EB1BA3" w:rsidP="002B2E0E">
      <w:pPr>
        <w:pStyle w:val="Sinespaciado"/>
        <w:contextualSpacing/>
        <w:jc w:val="both"/>
        <w:rPr>
          <w:rFonts w:ascii="Arial" w:hAnsi="Arial" w:cs="Arial"/>
          <w:sz w:val="24"/>
          <w:szCs w:val="24"/>
          <w:lang w:val="es-CO"/>
        </w:rPr>
      </w:pPr>
    </w:p>
    <w:p w:rsidR="00EB1BA3" w:rsidRDefault="00EB1BA3" w:rsidP="002B2E0E">
      <w:pPr>
        <w:pStyle w:val="Sinespaciado"/>
        <w:contextualSpacing/>
        <w:jc w:val="both"/>
        <w:rPr>
          <w:rFonts w:ascii="Arial" w:hAnsi="Arial" w:cs="Arial"/>
          <w:sz w:val="24"/>
          <w:szCs w:val="24"/>
          <w:lang w:val="es-CO"/>
        </w:rPr>
      </w:pPr>
    </w:p>
    <w:p w:rsidR="00CD2AB7" w:rsidRDefault="00CD2AB7" w:rsidP="002B2E0E">
      <w:pPr>
        <w:pStyle w:val="Sinespaciado"/>
        <w:contextualSpacing/>
        <w:jc w:val="both"/>
        <w:rPr>
          <w:rFonts w:ascii="Arial" w:hAnsi="Arial" w:cs="Arial"/>
          <w:sz w:val="24"/>
          <w:szCs w:val="24"/>
        </w:rPr>
      </w:pPr>
    </w:p>
    <w:p w:rsidR="00CD2AB7" w:rsidRPr="009B2BBF" w:rsidRDefault="00EB1BA3" w:rsidP="002B2E0E">
      <w:pPr>
        <w:pStyle w:val="Sinespaciad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JORGE CASTAÑO GUTIERREZ</w:t>
      </w:r>
    </w:p>
    <w:p w:rsidR="00CD2AB7" w:rsidRDefault="00EB1BA3" w:rsidP="002B2E0E">
      <w:pPr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SUPERINTENDENTE FINANCIERO </w:t>
      </w:r>
    </w:p>
    <w:p w:rsidR="00770D96" w:rsidRDefault="001B6AC0" w:rsidP="002B2E0E">
      <w:pPr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B6AC0">
        <w:rPr>
          <w:rFonts w:ascii="Arial" w:hAnsi="Arial" w:cs="Arial"/>
          <w:sz w:val="24"/>
          <w:szCs w:val="24"/>
        </w:rPr>
        <w:t>/</w:t>
      </w:r>
      <w:r w:rsidR="00770D96" w:rsidRPr="001B6AC0">
        <w:rPr>
          <w:rFonts w:ascii="Arial" w:hAnsi="Arial" w:cs="Arial"/>
          <w:sz w:val="24"/>
          <w:szCs w:val="24"/>
        </w:rPr>
        <w:t>50000</w:t>
      </w:r>
    </w:p>
    <w:p w:rsidR="00770D96" w:rsidRPr="00FD68E4" w:rsidRDefault="00770D96" w:rsidP="002B2E0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2AB7" w:rsidRPr="00CD2AB7" w:rsidRDefault="00CD2AB7" w:rsidP="002B2E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CD2AB7" w:rsidRPr="00CD2AB7" w:rsidSect="00360061">
      <w:headerReference w:type="default" r:id="rId9"/>
      <w:pgSz w:w="12242" w:h="18722" w:code="257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943" w:rsidRDefault="006D6943" w:rsidP="00CD2AB7">
      <w:pPr>
        <w:spacing w:after="0" w:line="240" w:lineRule="auto"/>
      </w:pPr>
      <w:r>
        <w:separator/>
      </w:r>
    </w:p>
  </w:endnote>
  <w:endnote w:type="continuationSeparator" w:id="0">
    <w:p w:rsidR="006D6943" w:rsidRDefault="006D6943" w:rsidP="00CD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943" w:rsidRDefault="006D6943" w:rsidP="00CD2AB7">
      <w:pPr>
        <w:spacing w:after="0" w:line="240" w:lineRule="auto"/>
      </w:pPr>
      <w:r>
        <w:separator/>
      </w:r>
    </w:p>
  </w:footnote>
  <w:footnote w:type="continuationSeparator" w:id="0">
    <w:p w:rsidR="006D6943" w:rsidRDefault="006D6943" w:rsidP="00CD2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A83" w:rsidRDefault="00570A83" w:rsidP="00CD2AB7">
    <w:pPr>
      <w:pStyle w:val="Encabezado"/>
      <w:jc w:val="center"/>
      <w:rPr>
        <w:rFonts w:ascii="Arial" w:hAnsi="Arial" w:cs="Arial"/>
        <w:b/>
        <w:lang w:val="es-CO"/>
      </w:rPr>
    </w:pPr>
  </w:p>
  <w:p w:rsidR="00570A83" w:rsidRDefault="00570A83" w:rsidP="001B6AC0">
    <w:pPr>
      <w:pStyle w:val="Encabezado"/>
      <w:jc w:val="center"/>
      <w:rPr>
        <w:rFonts w:ascii="Arial" w:hAnsi="Arial" w:cs="Arial"/>
        <w:b/>
        <w:lang w:val="es-CO"/>
      </w:rPr>
    </w:pPr>
  </w:p>
  <w:p w:rsidR="00570A83" w:rsidRDefault="00570A83" w:rsidP="001B6AC0">
    <w:pPr>
      <w:pStyle w:val="Encabezado"/>
      <w:jc w:val="center"/>
      <w:rPr>
        <w:rFonts w:ascii="Arial" w:hAnsi="Arial" w:cs="Arial"/>
        <w:b/>
        <w:lang w:val="es-CO"/>
      </w:rPr>
    </w:pPr>
  </w:p>
  <w:p w:rsidR="00570A83" w:rsidRPr="001B6AC0" w:rsidRDefault="00570A83" w:rsidP="001B6AC0">
    <w:pPr>
      <w:pStyle w:val="Encabezado"/>
      <w:jc w:val="center"/>
      <w:rPr>
        <w:rFonts w:ascii="Arial" w:hAnsi="Arial" w:cs="Arial"/>
        <w:b/>
        <w:lang w:val="es-CO"/>
      </w:rPr>
    </w:pPr>
    <w:r w:rsidRPr="009729DC">
      <w:rPr>
        <w:rFonts w:ascii="Arial" w:hAnsi="Arial" w:cs="Arial"/>
        <w:b/>
        <w:lang w:val="es-CO"/>
      </w:rPr>
      <w:t>SUPERINTENDENCIA FINANCIERA DE COLOMBIA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814" w:rsidRDefault="00C26814" w:rsidP="00CD2AB7">
    <w:pPr>
      <w:pStyle w:val="Encabezado"/>
      <w:jc w:val="center"/>
      <w:rPr>
        <w:rFonts w:ascii="Arial" w:hAnsi="Arial" w:cs="Arial"/>
        <w:b/>
        <w:lang w:val="es-CO"/>
      </w:rPr>
    </w:pPr>
  </w:p>
  <w:p w:rsidR="00360061" w:rsidRDefault="00360061" w:rsidP="00CD2AB7">
    <w:pPr>
      <w:pStyle w:val="Encabezado"/>
      <w:jc w:val="center"/>
      <w:rPr>
        <w:rFonts w:ascii="Arial" w:hAnsi="Arial" w:cs="Arial"/>
        <w:b/>
        <w:lang w:val="es-CO"/>
      </w:rPr>
    </w:pPr>
  </w:p>
  <w:p w:rsidR="00360061" w:rsidRDefault="00360061" w:rsidP="00B23CB8">
    <w:pPr>
      <w:pStyle w:val="Encabezado"/>
      <w:jc w:val="center"/>
      <w:rPr>
        <w:rFonts w:ascii="Arial" w:hAnsi="Arial" w:cs="Arial"/>
        <w:b/>
        <w:lang w:val="es-CO"/>
      </w:rPr>
    </w:pPr>
  </w:p>
  <w:p w:rsidR="009E669F" w:rsidRDefault="009E669F" w:rsidP="00B23CB8">
    <w:pPr>
      <w:pStyle w:val="Encabezado"/>
      <w:jc w:val="center"/>
      <w:rPr>
        <w:rFonts w:ascii="Arial" w:hAnsi="Arial" w:cs="Arial"/>
        <w:b/>
        <w:lang w:val="es-CO"/>
      </w:rPr>
    </w:pPr>
    <w:r w:rsidRPr="009729DC">
      <w:rPr>
        <w:rFonts w:ascii="Arial" w:hAnsi="Arial" w:cs="Arial"/>
        <w:b/>
        <w:lang w:val="es-CO"/>
      </w:rPr>
      <w:t>SUPERINTENDENCIA FINANCIERA DE COLOMBIA</w:t>
    </w:r>
  </w:p>
  <w:p w:rsidR="009E669F" w:rsidRDefault="009E669F" w:rsidP="00B23CB8">
    <w:pPr>
      <w:pStyle w:val="Encabezado"/>
      <w:jc w:val="center"/>
      <w:rPr>
        <w:rFonts w:ascii="Arial" w:hAnsi="Arial" w:cs="Arial"/>
        <w:b/>
        <w:lang w:val="es-CO"/>
      </w:rPr>
    </w:pPr>
  </w:p>
  <w:p w:rsidR="003E252E" w:rsidRPr="00B23CB8" w:rsidRDefault="003E252E" w:rsidP="00B23CB8">
    <w:pPr>
      <w:pStyle w:val="Encabezado"/>
      <w:jc w:val="center"/>
      <w:rPr>
        <w:rFonts w:ascii="Arial" w:hAnsi="Arial" w:cs="Arial"/>
        <w:b/>
        <w:lang w:val="es-CO"/>
      </w:rPr>
    </w:pPr>
  </w:p>
  <w:p w:rsidR="009E669F" w:rsidRDefault="009E669F" w:rsidP="00B23CB8">
    <w:pPr>
      <w:pStyle w:val="Encabezado"/>
      <w:tabs>
        <w:tab w:val="clear" w:pos="4252"/>
        <w:tab w:val="clear" w:pos="8504"/>
        <w:tab w:val="right" w:pos="8838"/>
      </w:tabs>
      <w:rPr>
        <w:rFonts w:ascii="Arial" w:hAnsi="Arial" w:cs="Arial"/>
        <w:b/>
      </w:rPr>
    </w:pPr>
    <w:r w:rsidRPr="00B23CB8">
      <w:rPr>
        <w:rFonts w:ascii="Arial" w:hAnsi="Arial" w:cs="Arial"/>
        <w:b/>
      </w:rPr>
      <w:t>Circular</w:t>
    </w:r>
    <w:r w:rsidR="002B2E0E">
      <w:rPr>
        <w:rFonts w:ascii="Arial" w:hAnsi="Arial" w:cs="Arial"/>
        <w:b/>
      </w:rPr>
      <w:t xml:space="preserve"> </w:t>
    </w:r>
    <w:proofErr w:type="gramStart"/>
    <w:r w:rsidR="002B2E0E">
      <w:rPr>
        <w:rFonts w:ascii="Arial" w:hAnsi="Arial" w:cs="Arial"/>
        <w:b/>
      </w:rPr>
      <w:t>Externa</w:t>
    </w:r>
    <w:r w:rsidRPr="00B23CB8">
      <w:rPr>
        <w:rFonts w:ascii="Arial" w:hAnsi="Arial" w:cs="Arial"/>
        <w:b/>
      </w:rPr>
      <w:t xml:space="preserve">  </w:t>
    </w:r>
    <w:r w:rsidR="006D047D">
      <w:rPr>
        <w:rFonts w:ascii="Arial" w:hAnsi="Arial" w:cs="Arial"/>
        <w:b/>
      </w:rPr>
      <w:t>029</w:t>
    </w:r>
    <w:proofErr w:type="gramEnd"/>
    <w:r w:rsidRPr="00B23CB8">
      <w:rPr>
        <w:rFonts w:ascii="Arial" w:hAnsi="Arial" w:cs="Arial"/>
        <w:b/>
      </w:rPr>
      <w:t xml:space="preserve">  de 2018</w:t>
    </w:r>
    <w:r w:rsidR="002B2E0E">
      <w:rPr>
        <w:rFonts w:ascii="Arial" w:hAnsi="Arial" w:cs="Arial"/>
        <w:b/>
      </w:rPr>
      <w:t xml:space="preserve">                                                                 </w:t>
    </w:r>
    <w:r>
      <w:rPr>
        <w:rFonts w:ascii="Arial" w:hAnsi="Arial" w:cs="Arial"/>
        <w:b/>
      </w:rPr>
      <w:t>Página 2</w:t>
    </w:r>
    <w:r w:rsidR="002B2E0E">
      <w:rPr>
        <w:rFonts w:ascii="Arial" w:hAnsi="Arial" w:cs="Arial"/>
        <w:b/>
      </w:rPr>
      <w:t xml:space="preserve"> de 2</w:t>
    </w:r>
  </w:p>
  <w:p w:rsidR="003E252E" w:rsidRPr="00B23CB8" w:rsidRDefault="003E252E" w:rsidP="00B23CB8">
    <w:pPr>
      <w:pStyle w:val="Encabezado"/>
      <w:tabs>
        <w:tab w:val="clear" w:pos="4252"/>
        <w:tab w:val="clear" w:pos="8504"/>
        <w:tab w:val="right" w:pos="8838"/>
      </w:tabs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D672D"/>
    <w:multiLevelType w:val="hybridMultilevel"/>
    <w:tmpl w:val="450E8E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F40D7"/>
    <w:multiLevelType w:val="hybridMultilevel"/>
    <w:tmpl w:val="3118E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AB7"/>
    <w:rsid w:val="000151C8"/>
    <w:rsid w:val="00072195"/>
    <w:rsid w:val="000C6166"/>
    <w:rsid w:val="00136359"/>
    <w:rsid w:val="001618FA"/>
    <w:rsid w:val="00172204"/>
    <w:rsid w:val="00184280"/>
    <w:rsid w:val="001B1F8D"/>
    <w:rsid w:val="001B2EC9"/>
    <w:rsid w:val="001B6AC0"/>
    <w:rsid w:val="001E2984"/>
    <w:rsid w:val="002212BB"/>
    <w:rsid w:val="00235BA7"/>
    <w:rsid w:val="0024214A"/>
    <w:rsid w:val="002579F5"/>
    <w:rsid w:val="00273A28"/>
    <w:rsid w:val="00286236"/>
    <w:rsid w:val="002A6B5D"/>
    <w:rsid w:val="002A7053"/>
    <w:rsid w:val="002B2E0E"/>
    <w:rsid w:val="002B340C"/>
    <w:rsid w:val="002C72CB"/>
    <w:rsid w:val="002D333F"/>
    <w:rsid w:val="002D59FA"/>
    <w:rsid w:val="002E5D11"/>
    <w:rsid w:val="00305680"/>
    <w:rsid w:val="00342040"/>
    <w:rsid w:val="00360061"/>
    <w:rsid w:val="0036413E"/>
    <w:rsid w:val="00371A33"/>
    <w:rsid w:val="00373FFB"/>
    <w:rsid w:val="00384AA8"/>
    <w:rsid w:val="00386087"/>
    <w:rsid w:val="00391805"/>
    <w:rsid w:val="00397175"/>
    <w:rsid w:val="003E252E"/>
    <w:rsid w:val="003E64E7"/>
    <w:rsid w:val="00421703"/>
    <w:rsid w:val="0044010C"/>
    <w:rsid w:val="00443D10"/>
    <w:rsid w:val="00475990"/>
    <w:rsid w:val="004C00E1"/>
    <w:rsid w:val="004C5930"/>
    <w:rsid w:val="004D4C2D"/>
    <w:rsid w:val="004F4E91"/>
    <w:rsid w:val="0053540D"/>
    <w:rsid w:val="0055411F"/>
    <w:rsid w:val="005634EC"/>
    <w:rsid w:val="00570A83"/>
    <w:rsid w:val="005917D7"/>
    <w:rsid w:val="005B4990"/>
    <w:rsid w:val="005D1302"/>
    <w:rsid w:val="005E4004"/>
    <w:rsid w:val="00611181"/>
    <w:rsid w:val="00613DA3"/>
    <w:rsid w:val="00613E4D"/>
    <w:rsid w:val="0064015C"/>
    <w:rsid w:val="006414CE"/>
    <w:rsid w:val="00650325"/>
    <w:rsid w:val="00654611"/>
    <w:rsid w:val="0068476B"/>
    <w:rsid w:val="00684879"/>
    <w:rsid w:val="006935CC"/>
    <w:rsid w:val="006D047D"/>
    <w:rsid w:val="006D0E0B"/>
    <w:rsid w:val="006D6943"/>
    <w:rsid w:val="006F5755"/>
    <w:rsid w:val="00770D96"/>
    <w:rsid w:val="007923B7"/>
    <w:rsid w:val="007A5335"/>
    <w:rsid w:val="007D4B70"/>
    <w:rsid w:val="007D7886"/>
    <w:rsid w:val="007E0695"/>
    <w:rsid w:val="007E2DDA"/>
    <w:rsid w:val="007E42CC"/>
    <w:rsid w:val="00806D0B"/>
    <w:rsid w:val="008265A4"/>
    <w:rsid w:val="00831048"/>
    <w:rsid w:val="008572A4"/>
    <w:rsid w:val="0086431D"/>
    <w:rsid w:val="008743D7"/>
    <w:rsid w:val="00896F2D"/>
    <w:rsid w:val="00922E1C"/>
    <w:rsid w:val="00924E16"/>
    <w:rsid w:val="0094731C"/>
    <w:rsid w:val="00952CA9"/>
    <w:rsid w:val="00976B5F"/>
    <w:rsid w:val="00997896"/>
    <w:rsid w:val="009A2E60"/>
    <w:rsid w:val="009A5676"/>
    <w:rsid w:val="009C5A6E"/>
    <w:rsid w:val="009D2774"/>
    <w:rsid w:val="009E669F"/>
    <w:rsid w:val="00A120D7"/>
    <w:rsid w:val="00A1602D"/>
    <w:rsid w:val="00AA5B17"/>
    <w:rsid w:val="00AB716A"/>
    <w:rsid w:val="00AB7FB3"/>
    <w:rsid w:val="00AD154F"/>
    <w:rsid w:val="00B01966"/>
    <w:rsid w:val="00B071FA"/>
    <w:rsid w:val="00B23CB8"/>
    <w:rsid w:val="00B3706A"/>
    <w:rsid w:val="00B72A56"/>
    <w:rsid w:val="00B74D80"/>
    <w:rsid w:val="00BA15F0"/>
    <w:rsid w:val="00BA3451"/>
    <w:rsid w:val="00BA4F70"/>
    <w:rsid w:val="00BA57FF"/>
    <w:rsid w:val="00BA6BD7"/>
    <w:rsid w:val="00BB19F0"/>
    <w:rsid w:val="00BC620F"/>
    <w:rsid w:val="00BE1DFC"/>
    <w:rsid w:val="00C26814"/>
    <w:rsid w:val="00C34F52"/>
    <w:rsid w:val="00C66A71"/>
    <w:rsid w:val="00C66B97"/>
    <w:rsid w:val="00CA017E"/>
    <w:rsid w:val="00CB7E30"/>
    <w:rsid w:val="00CC3B0A"/>
    <w:rsid w:val="00CC4F2F"/>
    <w:rsid w:val="00CD2AB7"/>
    <w:rsid w:val="00CF144A"/>
    <w:rsid w:val="00D44E36"/>
    <w:rsid w:val="00D60200"/>
    <w:rsid w:val="00D67CFA"/>
    <w:rsid w:val="00D76746"/>
    <w:rsid w:val="00DA2B89"/>
    <w:rsid w:val="00DC31FF"/>
    <w:rsid w:val="00E23BA1"/>
    <w:rsid w:val="00E33B1D"/>
    <w:rsid w:val="00E40571"/>
    <w:rsid w:val="00E41953"/>
    <w:rsid w:val="00E41E9E"/>
    <w:rsid w:val="00E732C0"/>
    <w:rsid w:val="00EB1BA3"/>
    <w:rsid w:val="00EC4C0F"/>
    <w:rsid w:val="00ED08EC"/>
    <w:rsid w:val="00EF0B7D"/>
    <w:rsid w:val="00F21CE3"/>
    <w:rsid w:val="00FA510C"/>
    <w:rsid w:val="00FB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AF175"/>
  <w15:docId w15:val="{91544DD0-5FB1-4B5C-9261-0518A5CA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2A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D2AB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D2A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2AB7"/>
  </w:style>
  <w:style w:type="paragraph" w:styleId="Piedepgina">
    <w:name w:val="footer"/>
    <w:basedOn w:val="Normal"/>
    <w:link w:val="PiedepginaCar"/>
    <w:uiPriority w:val="99"/>
    <w:unhideWhenUsed/>
    <w:rsid w:val="00CD2A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AB7"/>
  </w:style>
  <w:style w:type="paragraph" w:styleId="Textonotapie">
    <w:name w:val="footnote text"/>
    <w:basedOn w:val="Normal"/>
    <w:link w:val="TextonotapieCar"/>
    <w:uiPriority w:val="99"/>
    <w:semiHidden/>
    <w:unhideWhenUsed/>
    <w:rsid w:val="00CD2A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D2AB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D2AB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D2AB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618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23BA1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23BA1"/>
    <w:rPr>
      <w:rFonts w:ascii="Arial" w:eastAsia="Times New Roman" w:hAnsi="Arial" w:cs="Arial"/>
      <w:sz w:val="24"/>
      <w:szCs w:val="24"/>
      <w:lang w:val="es-CO" w:eastAsia="es-ES"/>
    </w:rPr>
  </w:style>
  <w:style w:type="paragraph" w:styleId="NormalWeb">
    <w:name w:val="Normal (Web)"/>
    <w:basedOn w:val="Normal"/>
    <w:uiPriority w:val="99"/>
    <w:semiHidden/>
    <w:unhideWhenUsed/>
    <w:rsid w:val="007E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A34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A34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A34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34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345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3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451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23CB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23CB8"/>
  </w:style>
  <w:style w:type="paragraph" w:styleId="Revisin">
    <w:name w:val="Revision"/>
    <w:hidden/>
    <w:uiPriority w:val="99"/>
    <w:semiHidden/>
    <w:rsid w:val="006D0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3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457D29A-80D8-43AE-A7A3-A990EA65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superfinanciera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Fernando Martinez Puertas</dc:creator>
  <cp:lastModifiedBy>Gabriel Armando Ospina Garcia</cp:lastModifiedBy>
  <cp:revision>5</cp:revision>
  <cp:lastPrinted>2018-12-10T20:07:00Z</cp:lastPrinted>
  <dcterms:created xsi:type="dcterms:W3CDTF">2018-12-18T15:35:00Z</dcterms:created>
  <dcterms:modified xsi:type="dcterms:W3CDTF">2018-12-19T21:51:00Z</dcterms:modified>
</cp:coreProperties>
</file>